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86544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</w:pPr>
      <w:bookmarkStart w:id="1" w:name="_GoBack"/>
      <w:bookmarkEnd w:id="1"/>
      <w:r>
        <w:rPr>
          <w:b/>
        </w:rPr>
        <w:t xml:space="preserve">Пояснительная записка к учебному плану ученика 1-го класса начального общего образования  с </w:t>
      </w:r>
      <w:r>
        <w:rPr>
          <w:b/>
          <w:i w:val="0"/>
          <w:iCs w:val="0"/>
          <w:sz w:val="24"/>
          <w:szCs w:val="24"/>
        </w:rPr>
        <w:t xml:space="preserve"> для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детей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с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расстройствами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аутистического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спектра (РАС) 8.2</w:t>
      </w:r>
    </w:p>
    <w:p>
      <w:pPr>
        <w:jc w:val="center"/>
      </w:pPr>
      <w:r>
        <w:rPr>
          <w:b/>
        </w:rPr>
        <w:t>МБОУ «Селенгинская средняя общеобразовательная школа №2» МО «Кабанский район»  Республики Бурятия на 2022– 2023 учебный год.</w:t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  <w:lang w:val="ru-RU" w:eastAsia="zh-CN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3"/>
          <w:szCs w:val="23"/>
          <w:lang w:val="ru-RU" w:eastAsia="zh-CN" w:bidi="ar-SA"/>
        </w:rPr>
        <w:t>Дружинина Полина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3"/>
          <w:szCs w:val="23"/>
          <w:lang w:val="ru-RU" w:eastAsia="zh-CN" w:bidi="ar-SA"/>
        </w:rPr>
      </w:pPr>
    </w:p>
    <w:p>
      <w:pPr>
        <w:numPr>
          <w:ilvl w:val="0"/>
          <w:numId w:val="1"/>
        </w:numPr>
        <w:spacing w:before="0" w:after="0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 xml:space="preserve">Общие положения </w:t>
      </w:r>
    </w:p>
    <w:p>
      <w:pPr>
        <w:spacing w:before="0" w:after="0"/>
        <w:ind w:left="1080" w:firstLine="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ar-SA"/>
        </w:rPr>
      </w:pPr>
    </w:p>
    <w:p>
      <w:pPr>
        <w:numPr>
          <w:ilvl w:val="1"/>
          <w:numId w:val="2"/>
        </w:num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определяет: </w:t>
      </w:r>
      <w:r>
        <w:rPr>
          <w:rFonts w:eastAsia="Times New Roman" w:cs="Times New Roman"/>
          <w:color w:val="000000"/>
          <w:sz w:val="24"/>
          <w:szCs w:val="24"/>
        </w:rPr>
        <w:t>общий объем нагрузки, максимальный объём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аудиторной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нагрузки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обучающихся,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состав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структуру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обязательных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предметных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областей,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распределяет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учебное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время,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отводимое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на</w:t>
      </w:r>
      <w:r>
        <w:rPr>
          <w:rFonts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освоение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1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дополнительном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классе и учебным предметам.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>Учебный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план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определяет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общие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рамки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принимаемых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решений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разработке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содержания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образования,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требований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его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усвоению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организации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образовательного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процесса,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также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выступает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качестве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одного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из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основных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механизмов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его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реализации.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Нормативное основание для учебного плана: </w:t>
      </w:r>
    </w:p>
    <w:p>
      <w:pPr>
        <w:spacing w:before="0" w:after="0" w:line="240" w:lineRule="auto"/>
        <w:jc w:val="both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2) </w:t>
      </w:r>
      <w:r>
        <w:t>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3)  </w:t>
      </w:r>
      <w: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18.03.2022 N 1/22)</w:t>
      </w:r>
    </w:p>
    <w:p>
      <w:pPr>
        <w:widowControl w:val="0"/>
        <w:suppressAutoHyphens/>
        <w:spacing w:before="0"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ar-SA"/>
        </w:rPr>
        <w:t>4)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22 марта 2021 г. N 115 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5)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6)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11"/>
          <w:rFonts w:eastAsia="Times New Roman" w:cs="Times New Roman"/>
          <w:bCs/>
          <w:iCs/>
          <w:sz w:val="24"/>
          <w:szCs w:val="24"/>
          <w:lang w:eastAsia="ru-RU"/>
        </w:rPr>
        <w:t>СанПиН 1.2.3685-21</w:t>
      </w:r>
      <w:r>
        <w:rPr>
          <w:rStyle w:val="11"/>
          <w:rFonts w:eastAsia="Times New Roman" w:cs="Times New Roman"/>
          <w:bCs/>
          <w:iCs/>
          <w:sz w:val="24"/>
          <w:szCs w:val="24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7)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</w:t>
      </w:r>
    </w:p>
    <w:p>
      <w:pPr>
        <w:spacing w:before="0" w:after="0" w:line="240" w:lineRule="auto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8)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ФГОС НОО ОВЗ), (утвержден приказом Министерства образования и науки Российской Федерации от 19 декабря 2014 г. N 1598, вступил в силу 1 сентября 2016 г.)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 w:val="0"/>
          <w:bCs w:val="0"/>
          <w:iCs/>
          <w:sz w:val="24"/>
          <w:szCs w:val="24"/>
          <w:lang w:eastAsia="ru-RU"/>
        </w:rPr>
        <w:t xml:space="preserve">9)  Основная образовательная программа </w:t>
      </w:r>
      <w:r>
        <w:rPr>
          <w:rFonts w:eastAsia="Times New Roman" w:cs="Times New Roman"/>
          <w:b w:val="0"/>
          <w:bCs w:val="0"/>
          <w:iCs/>
          <w:color w:val="000000"/>
          <w:sz w:val="24"/>
          <w:szCs w:val="24"/>
          <w:lang w:eastAsia="ru-RU"/>
        </w:rPr>
        <w:t>начального общего образования (1-е классы)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10)  Устав МБОУ «Селенгинская СОШ №2»</w:t>
      </w:r>
    </w:p>
    <w:p>
      <w:pPr>
        <w:pStyle w:val="32"/>
        <w:widowControl/>
        <w:bidi w:val="0"/>
        <w:spacing w:line="220" w:lineRule="atLeast"/>
        <w:ind w:left="0" w:right="0" w:hanging="360"/>
        <w:jc w:val="both"/>
        <w:textAlignment w:val="center"/>
        <w:rPr>
          <w:rFonts w:ascii="TextBookC" w:hAnsi="TextBookC" w:eastAsia="Droid Sans Fallback" w:cs="TextBookC"/>
          <w:color w:val="000000"/>
          <w:spacing w:val="-2"/>
          <w:sz w:val="18"/>
          <w:szCs w:val="18"/>
          <w:u w:val="none" w:color="000000"/>
          <w:lang w:val="ru-RU" w:eastAsia="zh-CN" w:bidi="hi-IN"/>
        </w:rPr>
      </w:pPr>
    </w:p>
    <w:p>
      <w:pPr>
        <w:numPr>
          <w:ilvl w:val="0"/>
          <w:numId w:val="1"/>
        </w:numPr>
        <w:spacing w:before="0" w:after="0"/>
        <w:jc w:val="center"/>
      </w:pPr>
      <w:r>
        <w:rPr>
          <w:rFonts w:cs="Times New Roman"/>
          <w:b/>
          <w:bCs/>
          <w:color w:val="000000"/>
          <w:sz w:val="24"/>
          <w:szCs w:val="24"/>
        </w:rPr>
        <w:t>Особенности учебного плана уровня начального общего образования</w:t>
      </w:r>
    </w:p>
    <w:p>
      <w:pPr>
        <w:spacing w:before="0" w:after="0"/>
      </w:pPr>
      <w:r>
        <w:rPr>
          <w:rFonts w:cs="Times New Roman"/>
          <w:b/>
          <w:bCs/>
          <w:sz w:val="24"/>
          <w:szCs w:val="24"/>
        </w:rPr>
        <w:t xml:space="preserve">2.1. Организационные условия реализации учебного плана </w:t>
      </w:r>
    </w:p>
    <w:p>
      <w:pPr>
        <w:spacing w:line="240" w:lineRule="auto"/>
        <w:jc w:val="both"/>
      </w:pPr>
      <w:r>
        <w:rPr>
          <w:rFonts w:cs="Times New Roman"/>
          <w:sz w:val="24"/>
          <w:szCs w:val="24"/>
        </w:rPr>
        <w:t>2.1.1.</w:t>
      </w:r>
      <w:r>
        <w:rPr>
          <w:rFonts w:eastAsia="Times New Roman" w:cs="Times New Roman"/>
          <w:sz w:val="24"/>
          <w:szCs w:val="24"/>
          <w:lang w:eastAsia="ru-RU"/>
        </w:rPr>
        <w:t xml:space="preserve"> Учебный план рассчитан на один год - дополнительный 1-ый</w:t>
      </w:r>
      <w:r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класс.</w:t>
      </w:r>
    </w:p>
    <w:p>
      <w:pPr>
        <w:spacing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учебном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плане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представлены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семь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предметных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областей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и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коррекционно- развивающая область. Содержание всех учебных предметов,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входящих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состав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каждой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предметной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области,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имеет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ярко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выраженную</w:t>
      </w:r>
      <w:r>
        <w:rPr>
          <w:rFonts w:eastAsia="Times New Roman" w:cs="Times New Roman"/>
          <w:bCs/>
          <w:iCs/>
          <w:spacing w:val="-67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коррекционно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-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развивающую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направленность,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заключающуюся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учете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особых образовательных потребностей этой категории обучающихся.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Вариант 8.1.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обучения (1 - 4 классы). 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 xml:space="preserve">2.1.2.Учебный план разработан  на 2022-2023 учебный год.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2.1.3. Учебный план сформирован с соблюдением санитарно-эпидемиологических требований и норм к условиям и организации обучения в общеобразовательных организациях, отраженных в календарно-учебном графике  на 2022/2023 учебный год ООП НОО.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 Содержание образования на уровне начального общего образования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3.1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кроме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этого, с целью коррекции недостатков психического и физического развития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обучающихся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структуру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учебного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плана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входит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и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коррекционно-</w:t>
      </w:r>
      <w:r>
        <w:rPr>
          <w:rFonts w:eastAsia="Times New Roman" w:cs="Times New Roman"/>
          <w:bCs/>
          <w:iCs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развивающая</w:t>
      </w:r>
      <w:r>
        <w:rPr>
          <w:rFonts w:eastAsia="Times New Roman" w:cs="Times New Roman"/>
          <w:bCs/>
          <w:iCs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область.</w:t>
      </w:r>
    </w:p>
    <w:p>
      <w:pPr>
        <w:shd w:val="clear" w:color="FFFFFF" w:themeColor="dark1" w:themeShade="00" w:themeTint="00" w:fill="FFFFFF" w:themeFill="dark1" w:themeFillShade="00" w:themeFillTint="00"/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3.2.1</w:t>
      </w:r>
      <w:r>
        <w:rPr>
          <w:rFonts w:eastAsia="Times New Roman" w:cs="Times New Roman"/>
          <w:bCs/>
          <w:iCs/>
          <w:sz w:val="24"/>
          <w:szCs w:val="24"/>
          <w:shd w:val="clear" w:fill="FFFFFF"/>
          <w:lang w:eastAsia="ru-RU"/>
        </w:rPr>
        <w:t xml:space="preserve">. </w:t>
      </w:r>
      <w:r>
        <w:rPr>
          <w:rFonts w:cs="Times New Roman"/>
          <w:b/>
          <w:bCs/>
          <w:sz w:val="24"/>
          <w:szCs w:val="24"/>
          <w:shd w:val="clear" w:fill="FFFFFF"/>
        </w:rPr>
        <w:t>Обязательная часть </w:t>
      </w:r>
      <w:r>
        <w:rPr>
          <w:rFonts w:cs="Times New Roman"/>
          <w:sz w:val="24"/>
          <w:szCs w:val="24"/>
          <w:shd w:val="clear" w:fill="FFFFFF"/>
        </w:rPr>
        <w:t>учебного плана</w:t>
      </w:r>
      <w:r>
        <w:rPr>
          <w:rFonts w:cs="Times New Roman"/>
          <w:sz w:val="24"/>
          <w:szCs w:val="24"/>
        </w:rPr>
        <w:t xml:space="preserve"> включает следующие предметные  области и учебные предметы: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«Русский язык и литературное чтение» </w:t>
      </w:r>
      <w:r>
        <w:rPr>
          <w:rFonts w:cs="Times New Roman"/>
          <w:sz w:val="24"/>
          <w:szCs w:val="24"/>
        </w:rPr>
        <w:t xml:space="preserve">реализуется предметами «Русский язык» – 2 ч в неделю. «Литературное чтение» - 1 час в неделю; </w:t>
      </w:r>
      <w:r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>
        <w:rPr>
          <w:rFonts w:ascii="Times New Roman" w:hAnsi="Times New Roman" w:cs="Times New Roman"/>
          <w:color w:val="00000A"/>
          <w:sz w:val="24"/>
          <w:szCs w:val="24"/>
        </w:rPr>
        <w:t>Родной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РАС.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«Родной язык и литературное чтение на родном языке</w:t>
      </w:r>
      <w:r>
        <w:rPr>
          <w:rFonts w:cs="Times New Roman"/>
          <w:sz w:val="24"/>
          <w:szCs w:val="24"/>
        </w:rPr>
        <w:t>». В связи с отсутствием заявлений родителей не проводится.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«Математика и информатика».</w:t>
      </w:r>
      <w:r>
        <w:rPr>
          <w:rFonts w:cs="Times New Roman"/>
          <w:sz w:val="24"/>
          <w:szCs w:val="24"/>
        </w:rPr>
        <w:t> Реализуется учебным курсом «Математика». - 2 часа в неделю.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«Обществознание и естествознание (окружающий мир)»</w:t>
      </w:r>
      <w:r>
        <w:rPr>
          <w:rFonts w:cs="Times New Roman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Включает в себя учебный курс «Окружающий мир», который представлен в объеме 1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sz w:val="24"/>
          <w:szCs w:val="24"/>
        </w:rPr>
        <w:t> </w:t>
      </w:r>
      <w:r>
        <w:rPr>
          <w:rFonts w:cs="Times New Roman"/>
          <w:b/>
          <w:bCs/>
          <w:sz w:val="24"/>
          <w:szCs w:val="24"/>
        </w:rPr>
        <w:t>Предметная область «Искусство»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Включает в себя учебные предметы «Изобразительное искусство» и «Музыка».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>Учебный курс «Изобразительное искусство» представлен в объеме 0,5 час в неделю.</w:t>
      </w:r>
    </w:p>
    <w:p>
      <w:pPr>
        <w:spacing w:before="0" w:after="0" w:line="240" w:lineRule="auto"/>
        <w:jc w:val="both"/>
      </w:pPr>
      <w:r>
        <w:rPr>
          <w:rFonts w:cs="Times New Roman"/>
          <w:bCs/>
          <w:sz w:val="24"/>
          <w:szCs w:val="24"/>
        </w:rPr>
        <w:t>Учебный курс «Музыка» представлен в объеме 0,5 час в неделю.</w:t>
      </w:r>
      <w:r>
        <w:rPr>
          <w:rFonts w:cs="Times New Roman"/>
          <w:sz w:val="24"/>
          <w:szCs w:val="24"/>
        </w:rPr>
        <w:t> 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«Технология»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Включает в себя учебный курс «Технология», который представлен в объеме 0,5 час в неделю. 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sz w:val="24"/>
          <w:szCs w:val="24"/>
        </w:rPr>
        <w:t>Предметная область «Физическая культура</w:t>
      </w:r>
      <w:r>
        <w:rPr>
          <w:rFonts w:cs="Times New Roman"/>
          <w:sz w:val="24"/>
          <w:szCs w:val="24"/>
        </w:rPr>
        <w:t>» реализуется учебным курсом «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Адаптивная физическая культура</w:t>
      </w:r>
      <w:r>
        <w:rPr>
          <w:rFonts w:cs="Times New Roman"/>
          <w:sz w:val="24"/>
          <w:szCs w:val="24"/>
        </w:rPr>
        <w:t>»- 0,5 часа в неделю).</w:t>
      </w:r>
    </w:p>
    <w:p>
      <w:pPr>
        <w:spacing w:before="0" w:after="0" w:line="240" w:lineRule="auto"/>
      </w:pPr>
      <w:r>
        <w:rPr>
          <w:b/>
          <w:bCs/>
        </w:rPr>
        <w:t>В 1 классе</w:t>
      </w:r>
      <w:r>
        <w:t xml:space="preserve">  Обучение проводится без бального оценивания знаний обучающихся и домашних заданий.</w:t>
      </w:r>
    </w:p>
    <w:p>
      <w:pPr>
        <w:widowControl w:val="0"/>
        <w:suppressAutoHyphens/>
        <w:bidi w:val="0"/>
        <w:spacing w:before="0" w:after="0"/>
        <w:ind w:left="0" w:right="397" w:firstLine="0"/>
        <w:jc w:val="both"/>
      </w:pPr>
      <w:r>
        <w:rPr>
          <w:b/>
          <w:i w:val="0"/>
          <w:iCs w:val="0"/>
          <w:sz w:val="24"/>
          <w:szCs w:val="24"/>
        </w:rPr>
        <w:t>3.2.22 Коррекционно-развивающая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b/>
          <w:i w:val="0"/>
          <w:iCs w:val="0"/>
          <w:sz w:val="24"/>
          <w:szCs w:val="24"/>
        </w:rPr>
        <w:t>область</w:t>
      </w:r>
      <w:r>
        <w:rPr>
          <w:b/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является</w:t>
      </w:r>
      <w:r>
        <w:rPr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обязательной</w:t>
      </w:r>
      <w:r>
        <w:rPr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частью</w:t>
      </w:r>
      <w:r>
        <w:rPr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внеурочной деятельности, поддерживающей процесс освоения содержания</w:t>
      </w:r>
      <w:r>
        <w:rPr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АООП</w:t>
      </w:r>
      <w:r>
        <w:rPr>
          <w:i w:val="0"/>
          <w:iCs w:val="0"/>
          <w:spacing w:val="-2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НОО.</w:t>
      </w:r>
    </w:p>
    <w:p>
      <w:pPr>
        <w:pStyle w:val="19"/>
        <w:widowControl w:val="0"/>
        <w:tabs>
          <w:tab w:val="left" w:pos="3188"/>
          <w:tab w:val="left" w:pos="6078"/>
          <w:tab w:val="left" w:pos="7966"/>
        </w:tabs>
        <w:suppressAutoHyphens/>
        <w:bidi w:val="0"/>
        <w:spacing w:before="2" w:after="0" w:line="240" w:lineRule="auto"/>
        <w:ind w:left="0" w:right="397" w:firstLine="0"/>
        <w:jc w:val="left"/>
      </w:pPr>
      <w:r>
        <w:rPr>
          <w:i w:val="0"/>
          <w:iCs w:val="0"/>
          <w:sz w:val="24"/>
          <w:szCs w:val="24"/>
        </w:rPr>
        <w:t>Содержание коррекционно-развивающей области представлено следующими</w:t>
      </w:r>
      <w:r>
        <w:rPr>
          <w:i w:val="0"/>
          <w:iCs w:val="0"/>
          <w:spacing w:val="1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обязательными коррекционны курсом: «Формирование</w:t>
      </w:r>
      <w:r>
        <w:rPr>
          <w:i w:val="0"/>
          <w:iCs w:val="0"/>
          <w:spacing w:val="-68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коммуникативного</w:t>
      </w:r>
      <w:r>
        <w:rPr>
          <w:i w:val="0"/>
          <w:iCs w:val="0"/>
          <w:spacing w:val="1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поведения»</w:t>
      </w:r>
      <w:r>
        <w:rPr>
          <w:i w:val="0"/>
          <w:iCs w:val="0"/>
          <w:spacing w:val="11"/>
          <w:sz w:val="24"/>
          <w:szCs w:val="24"/>
        </w:rPr>
        <w:t xml:space="preserve"> .</w:t>
      </w:r>
    </w:p>
    <w:p>
      <w:pPr>
        <w:jc w:val="both"/>
      </w:pPr>
      <w:r>
        <w:rPr>
          <w:b/>
          <w:i w:val="0"/>
          <w:iCs w:val="0"/>
          <w:sz w:val="24"/>
          <w:szCs w:val="24"/>
        </w:rPr>
        <w:t>4</w:t>
      </w:r>
      <w:r>
        <w:rPr>
          <w:b/>
          <w:i w:val="0"/>
          <w:iCs w:val="0"/>
          <w:sz w:val="32"/>
          <w:szCs w:val="32"/>
        </w:rPr>
        <w:t>.</w:t>
      </w:r>
      <w:r>
        <w:rPr>
          <w:b/>
          <w:i w:val="0"/>
          <w:iCs w:val="0"/>
        </w:rPr>
        <w:t>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Текущий контроль успеваемости учащихся первых классов по всем предметам  не предполагают балльного оценивания, в течение учебного года осуществляется без фиксации достижений учащихся в виде отметок.</w:t>
      </w: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both"/>
        <w:rPr>
          <w:rFonts w:ascii="Liberation Serif" w:hAnsi="Liberation Serif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9912" w:type="dxa"/>
        <w:tblInd w:w="-10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0" w:type="dxa"/>
          <w:left w:w="-7" w:type="dxa"/>
          <w:bottom w:w="0" w:type="dxa"/>
          <w:right w:w="40" w:type="dxa"/>
        </w:tblCellMar>
      </w:tblPr>
      <w:tblGrid>
        <w:gridCol w:w="1969"/>
        <w:gridCol w:w="1201"/>
        <w:gridCol w:w="2995"/>
        <w:gridCol w:w="2422"/>
        <w:gridCol w:w="2"/>
        <w:gridCol w:w="3"/>
        <w:gridCol w:w="1266"/>
        <w:gridCol w:w="54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9912" w:type="dxa"/>
            <w:gridSpan w:val="8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74" w:lineRule="exact"/>
              <w:ind w:left="970" w:right="974" w:firstLine="0"/>
            </w:pPr>
            <w:r>
              <w:rPr>
                <w:rStyle w:val="5"/>
              </w:rPr>
              <w:t>Примерный недельный учебный план начального общего образования обучающихся с задержкой психического развития (вариант 8.1)</w:t>
            </w:r>
          </w:p>
          <w:p>
            <w:pPr>
              <w:pStyle w:val="23"/>
              <w:widowControl/>
              <w:spacing w:line="274" w:lineRule="exact"/>
              <w:ind w:left="970" w:firstLine="0"/>
            </w:pPr>
            <w:r>
              <w:rPr>
                <w:rStyle w:val="5"/>
              </w:rPr>
              <w:t>(вариант 1) 1 класс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74" w:lineRule="exact"/>
            </w:pPr>
            <w:r>
              <w:rPr>
                <w:rStyle w:val="5"/>
              </w:rPr>
              <w:t>Предметные области</w:t>
            </w:r>
          </w:p>
        </w:tc>
        <w:tc>
          <w:tcPr>
            <w:tcW w:w="300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4"/>
              <w:widowControl/>
              <w:suppressAutoHyphens/>
              <w:bidi w:val="0"/>
              <w:spacing w:line="562" w:lineRule="exact"/>
              <w:ind w:left="0" w:right="0" w:firstLine="454"/>
              <w:jc w:val="left"/>
            </w:pPr>
            <w:r>
              <w:rPr>
                <w:rStyle w:val="5"/>
              </w:rPr>
              <w:t>Учебные предметы</w:t>
            </w:r>
          </w:p>
        </w:tc>
        <w:tc>
          <w:tcPr>
            <w:tcW w:w="2434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74" w:lineRule="exact"/>
              <w:ind w:left="912" w:firstLine="0"/>
            </w:pPr>
            <w:r>
              <w:rPr>
                <w:rStyle w:val="5"/>
              </w:rPr>
              <w:t>Количество часов в неделю</w:t>
            </w:r>
          </w:p>
        </w:tc>
        <w:tc>
          <w:tcPr>
            <w:tcW w:w="1298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jc w:val="center"/>
            </w:pPr>
            <w:r>
              <w:rPr>
                <w:rStyle w:val="5"/>
              </w:rPr>
              <w:t>Всего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0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pStyle w:val="25"/>
              <w:widowControl/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pStyle w:val="25"/>
              <w:widowControl/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pStyle w:val="25"/>
              <w:widowControl/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618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6"/>
              <w:widowControl/>
              <w:spacing w:line="240" w:lineRule="auto"/>
              <w:ind w:left="1114" w:firstLine="0"/>
            </w:pPr>
            <w:r>
              <w:rPr>
                <w:rStyle w:val="7"/>
                <w:spacing w:val="0"/>
              </w:rPr>
              <w:t>Обязательная</w:t>
            </w:r>
            <w:r>
              <w:rPr>
                <w:rStyle w:val="7"/>
              </w:rPr>
              <w:t xml:space="preserve"> </w:t>
            </w:r>
            <w:r>
              <w:rPr>
                <w:rStyle w:val="7"/>
                <w:spacing w:val="0"/>
              </w:rPr>
              <w:t>часть</w:t>
            </w:r>
          </w:p>
        </w:tc>
        <w:tc>
          <w:tcPr>
            <w:tcW w:w="3732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7"/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Филология</w:t>
            </w: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Русский язык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2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66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Литературное чтение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1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33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17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pStyle w:val="25"/>
              <w:widowControl/>
              <w:spacing w:line="278" w:lineRule="exact"/>
            </w:pPr>
            <w:r>
              <w:rPr>
                <w:rStyle w:val="6"/>
              </w:rPr>
              <w:t>Математика и информатика</w:t>
            </w: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Математика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2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66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603" w:hRule="atLeast"/>
        </w:trPr>
        <w:tc>
          <w:tcPr>
            <w:tcW w:w="317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pStyle w:val="25"/>
              <w:widowControl/>
            </w:pPr>
            <w:r>
              <w:rPr>
                <w:rStyle w:val="6"/>
              </w:rPr>
              <w:t>Обществознание и</w:t>
            </w:r>
          </w:p>
          <w:p>
            <w:pPr>
              <w:pStyle w:val="25"/>
              <w:widowControl/>
            </w:pPr>
            <w:r>
              <w:rPr>
                <w:rStyle w:val="6"/>
              </w:rPr>
              <w:t>естествознание</w:t>
            </w: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Окружающий мир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1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33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Искусство</w:t>
            </w: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Музыка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0,5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16,5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179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widowControl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ind w:left="5" w:hanging="5"/>
            </w:pPr>
            <w:r>
              <w:rPr>
                <w:rStyle w:val="6"/>
              </w:rPr>
              <w:t>Изобразительное искусство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0,5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bookmarkStart w:id="0" w:name="__DdeLink__10023_366673120"/>
            <w:bookmarkEnd w:id="0"/>
            <w:r>
              <w:rPr>
                <w:rStyle w:val="6"/>
              </w:rPr>
              <w:t>16,5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</w:tblPrEx>
        <w:trPr>
          <w:cantSplit/>
        </w:trPr>
        <w:tc>
          <w:tcPr>
            <w:tcW w:w="197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pStyle w:val="25"/>
              <w:widowControl/>
              <w:pBdr>
                <w:left w:val="single" w:color="000001" w:sz="2" w:space="1"/>
              </w:pBdr>
              <w:spacing w:line="240" w:lineRule="auto"/>
            </w:pPr>
            <w:r>
              <w:rPr>
                <w:rStyle w:val="6"/>
              </w:rPr>
              <w:t xml:space="preserve">Технология                                 </w:t>
            </w:r>
          </w:p>
        </w:tc>
        <w:tc>
          <w:tcPr>
            <w:tcW w:w="420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pStyle w:val="25"/>
              <w:widowControl/>
              <w:pBdr>
                <w:right w:val="single" w:color="000001" w:sz="2" w:space="1"/>
              </w:pBdr>
              <w:spacing w:line="240" w:lineRule="auto"/>
            </w:pPr>
            <w:r>
              <w:rPr>
                <w:rStyle w:val="6"/>
              </w:rPr>
              <w:t xml:space="preserve">Технология  </w:t>
            </w:r>
          </w:p>
        </w:tc>
        <w:tc>
          <w:tcPr>
            <w:tcW w:w="242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pStyle w:val="25"/>
              <w:widowControl/>
              <w:pBdr>
                <w:right w:val="single" w:color="000001" w:sz="2" w:space="1"/>
              </w:pBd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7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</w:tcPr>
          <w:p>
            <w:pPr>
              <w:pStyle w:val="25"/>
              <w:widowControl/>
              <w:pBdr>
                <w:right w:val="single" w:color="000001" w:sz="2" w:space="1"/>
              </w:pBdr>
              <w:spacing w:line="240" w:lineRule="auto"/>
              <w:jc w:val="center"/>
            </w:pPr>
            <w:r>
              <w:rPr>
                <w:rStyle w:val="6"/>
              </w:rPr>
              <w:t>16,5</w:t>
            </w:r>
          </w:p>
        </w:tc>
        <w:tc>
          <w:tcPr>
            <w:tcW w:w="2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</w:tcPr>
          <w:p/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17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pStyle w:val="25"/>
              <w:widowControl/>
              <w:spacing w:line="278" w:lineRule="exact"/>
            </w:pPr>
            <w:r>
              <w:rPr>
                <w:rStyle w:val="6"/>
              </w:rPr>
              <w:t>Физическая культура</w:t>
            </w:r>
          </w:p>
        </w:tc>
        <w:tc>
          <w:tcPr>
            <w:tcW w:w="300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0,5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16,5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45" w:hRule="atLeast"/>
        </w:trPr>
        <w:tc>
          <w:tcPr>
            <w:tcW w:w="618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ind w:left="3787" w:firstLine="0"/>
            </w:pPr>
            <w:r>
              <w:rPr>
                <w:rStyle w:val="5"/>
              </w:rPr>
              <w:t>Итого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jc w:val="center"/>
            </w:pPr>
            <w:r>
              <w:rPr>
                <w:rStyle w:val="5"/>
              </w:rPr>
              <w:t>8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jc w:val="center"/>
            </w:pPr>
            <w:r>
              <w:rPr>
                <w:rStyle w:val="5"/>
              </w:rPr>
              <w:t>264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618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  <w:vAlign w:val="center"/>
          </w:tcPr>
          <w:p>
            <w:pPr>
              <w:pStyle w:val="23"/>
              <w:widowControl/>
              <w:spacing w:line="274" w:lineRule="exact"/>
            </w:pPr>
            <w:r>
              <w:rPr>
                <w:rStyle w:val="5"/>
              </w:rPr>
              <w:t xml:space="preserve">Максимально   допустимая   недельная нагрузка </w:t>
            </w:r>
            <w:r>
              <w:rPr>
                <w:rStyle w:val="6"/>
              </w:rPr>
              <w:t>(при 5-дневной учебной неделе)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jc w:val="center"/>
            </w:pPr>
            <w:r>
              <w:rPr>
                <w:rStyle w:val="5"/>
              </w:rPr>
              <w:t>12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3"/>
              <w:widowControl/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618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</w:pPr>
            <w:r>
              <w:rPr>
                <w:rStyle w:val="6"/>
              </w:rPr>
              <w:t>коррекционно-развивающие занятия</w:t>
            </w:r>
          </w:p>
        </w:tc>
        <w:tc>
          <w:tcPr>
            <w:tcW w:w="2431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</w:pPr>
            <w:r>
              <w:rPr>
                <w:rStyle w:val="6"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7" w:type="dxa"/>
            </w:tcMar>
          </w:tcPr>
          <w:p>
            <w:pPr>
              <w:pStyle w:val="25"/>
              <w:widowControl/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</w:tbl>
    <w:p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extBook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720" w:hanging="720"/>
      </w:pPr>
    </w:lvl>
    <w:lvl w:ilvl="1" w:tentative="0">
      <w:start w:val="2"/>
      <w:numFmt w:val="decimal"/>
      <w:lvlText w:val="%1.%2."/>
      <w:lvlJc w:val="left"/>
      <w:pPr>
        <w:ind w:left="765" w:hanging="405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592A1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шрифт абзаца1"/>
    <w:uiPriority w:val="0"/>
  </w:style>
  <w:style w:type="character" w:customStyle="1" w:styleId="5">
    <w:name w:val="Font Style84"/>
    <w:basedOn w:val="4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6">
    <w:name w:val="Font Style70"/>
    <w:basedOn w:val="4"/>
    <w:uiPriority w:val="0"/>
    <w:rPr>
      <w:rFonts w:ascii="Times New Roman" w:hAnsi="Times New Roman" w:cs="Times New Roman"/>
      <w:sz w:val="22"/>
      <w:szCs w:val="22"/>
    </w:rPr>
  </w:style>
  <w:style w:type="character" w:customStyle="1" w:styleId="7">
    <w:name w:val="Font Style72"/>
    <w:basedOn w:val="4"/>
    <w:uiPriority w:val="0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8">
    <w:name w:val="Font Style83"/>
    <w:basedOn w:val="4"/>
    <w:uiPriority w:val="0"/>
    <w:rPr>
      <w:rFonts w:ascii="Times New Roman" w:hAnsi="Times New Roman" w:cs="Times New Roman"/>
      <w:sz w:val="12"/>
      <w:szCs w:val="12"/>
    </w:rPr>
  </w:style>
  <w:style w:type="character" w:customStyle="1" w:styleId="9">
    <w:name w:val="Font Style85"/>
    <w:basedOn w:val="4"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ListLabel 125"/>
    <w:uiPriority w:val="0"/>
    <w:rPr>
      <w:b/>
      <w:sz w:val="24"/>
      <w:szCs w:val="24"/>
    </w:rPr>
  </w:style>
  <w:style w:type="character" w:customStyle="1" w:styleId="11">
    <w:name w:val="Интернет-ссылка"/>
    <w:uiPriority w:val="0"/>
    <w:rPr>
      <w:rFonts w:cs="Times New Roman"/>
      <w:color w:val="0000FF"/>
      <w:u w:val="single"/>
      <w:lang w:val="zh-CN" w:eastAsia="zh-CN" w:bidi="zh-CN"/>
    </w:rPr>
  </w:style>
  <w:style w:type="character" w:customStyle="1" w:styleId="12">
    <w:name w:val="ListLabel 126"/>
    <w:uiPriority w:val="0"/>
    <w:rPr>
      <w:b/>
      <w:sz w:val="24"/>
      <w:szCs w:val="24"/>
    </w:rPr>
  </w:style>
  <w:style w:type="character" w:customStyle="1" w:styleId="13">
    <w:name w:val="ListLabel 127"/>
    <w:uiPriority w:val="0"/>
    <w:rPr>
      <w:b/>
      <w:sz w:val="24"/>
      <w:szCs w:val="24"/>
    </w:rPr>
  </w:style>
  <w:style w:type="character" w:customStyle="1" w:styleId="14">
    <w:name w:val="ListLabel 128"/>
    <w:uiPriority w:val="0"/>
    <w:rPr>
      <w:b/>
      <w:sz w:val="24"/>
      <w:szCs w:val="24"/>
    </w:rPr>
  </w:style>
  <w:style w:type="character" w:customStyle="1" w:styleId="15">
    <w:name w:val="ListLabel 129"/>
    <w:uiPriority w:val="0"/>
    <w:rPr>
      <w:b/>
      <w:sz w:val="24"/>
      <w:szCs w:val="24"/>
    </w:rPr>
  </w:style>
  <w:style w:type="character" w:customStyle="1" w:styleId="16">
    <w:name w:val="ListLabel 130"/>
    <w:qFormat/>
    <w:uiPriority w:val="0"/>
    <w:rPr>
      <w:b/>
      <w:sz w:val="24"/>
      <w:szCs w:val="24"/>
    </w:rPr>
  </w:style>
  <w:style w:type="character" w:customStyle="1" w:styleId="17">
    <w:name w:val="ListLabel 131"/>
    <w:uiPriority w:val="0"/>
    <w:rPr>
      <w:b/>
      <w:sz w:val="24"/>
      <w:szCs w:val="24"/>
    </w:rPr>
  </w:style>
  <w:style w:type="paragraph" w:customStyle="1" w:styleId="18">
    <w:name w:val="Заголовок"/>
    <w:basedOn w:val="1"/>
    <w:next w:val="19"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9">
    <w:name w:val="Основной текст1"/>
    <w:basedOn w:val="1"/>
    <w:uiPriority w:val="0"/>
    <w:pPr>
      <w:spacing w:before="0" w:after="140" w:line="288" w:lineRule="auto"/>
    </w:pPr>
  </w:style>
  <w:style w:type="paragraph" w:customStyle="1" w:styleId="20">
    <w:name w:val="Список1"/>
    <w:basedOn w:val="19"/>
    <w:uiPriority w:val="0"/>
    <w:rPr>
      <w:rFonts w:cs="FreeSans"/>
    </w:rPr>
  </w:style>
  <w:style w:type="paragraph" w:customStyle="1" w:styleId="21">
    <w:name w:val="Название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1"/>
    <w:basedOn w:val="1"/>
    <w:uiPriority w:val="0"/>
    <w:pPr>
      <w:suppressLineNumbers/>
    </w:pPr>
    <w:rPr>
      <w:rFonts w:cs="FreeSans"/>
    </w:rPr>
  </w:style>
  <w:style w:type="paragraph" w:customStyle="1" w:styleId="23">
    <w:name w:val="Style63"/>
    <w:basedOn w:val="1"/>
    <w:uiPriority w:val="0"/>
    <w:pPr>
      <w:spacing w:line="278" w:lineRule="exact"/>
    </w:pPr>
  </w:style>
  <w:style w:type="paragraph" w:customStyle="1" w:styleId="24">
    <w:name w:val="Style57"/>
    <w:basedOn w:val="1"/>
    <w:uiPriority w:val="0"/>
    <w:pPr>
      <w:spacing w:line="562" w:lineRule="exact"/>
      <w:ind w:firstLine="1651"/>
    </w:pPr>
  </w:style>
  <w:style w:type="paragraph" w:customStyle="1" w:styleId="25">
    <w:name w:val="Style62"/>
    <w:basedOn w:val="1"/>
    <w:uiPriority w:val="0"/>
    <w:pPr>
      <w:spacing w:line="274" w:lineRule="exact"/>
    </w:pPr>
  </w:style>
  <w:style w:type="paragraph" w:customStyle="1" w:styleId="26">
    <w:name w:val="Style51"/>
    <w:basedOn w:val="1"/>
    <w:uiPriority w:val="0"/>
    <w:pPr>
      <w:spacing w:line="274" w:lineRule="exact"/>
    </w:pPr>
  </w:style>
  <w:style w:type="paragraph" w:customStyle="1" w:styleId="27">
    <w:name w:val="Style60"/>
    <w:basedOn w:val="1"/>
    <w:uiPriority w:val="0"/>
  </w:style>
  <w:style w:type="paragraph" w:customStyle="1" w:styleId="28">
    <w:name w:val="Style49"/>
    <w:basedOn w:val="1"/>
    <w:uiPriority w:val="0"/>
  </w:style>
  <w:style w:type="paragraph" w:customStyle="1" w:styleId="29">
    <w:name w:val="Style39"/>
    <w:basedOn w:val="1"/>
    <w:uiPriority w:val="0"/>
  </w:style>
  <w:style w:type="paragraph" w:customStyle="1" w:styleId="30">
    <w:name w:val="[Без стиля]"/>
    <w:uiPriority w:val="0"/>
    <w:pPr>
      <w:widowControl/>
      <w:suppressAutoHyphens/>
      <w:bidi w:val="0"/>
      <w:ind w:left="0" w:right="0" w:firstLine="0"/>
      <w:jc w:val="left"/>
      <w:textAlignment w:val="center"/>
    </w:pPr>
    <w:rPr>
      <w:rFonts w:ascii="Times New Roman" w:hAnsi="Times New Roman" w:eastAsia="Droid Sans Fallback" w:cs="Times New Roman"/>
      <w:color w:val="000000"/>
      <w:sz w:val="24"/>
      <w:szCs w:val="24"/>
      <w:lang w:val="en-US" w:eastAsia="zh-CN" w:bidi="hi-IN"/>
    </w:rPr>
  </w:style>
  <w:style w:type="paragraph" w:customStyle="1" w:styleId="31">
    <w:name w:val="07BODY-txt"/>
    <w:basedOn w:val="30"/>
    <w:uiPriority w:val="0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customStyle="1" w:styleId="32">
    <w:name w:val="13NormDOC-bul"/>
    <w:basedOn w:val="31"/>
    <w:uiPriority w:val="0"/>
    <w:pPr>
      <w:spacing w:line="220" w:lineRule="atLeast"/>
      <w:ind w:left="283" w:right="0" w:hanging="227"/>
    </w:pPr>
    <w:rPr>
      <w:rFonts w:ascii="TextBookC" w:hAnsi="TextBookC" w:cs="TextBookC"/>
      <w:sz w:val="18"/>
      <w:szCs w:val="18"/>
    </w:rPr>
  </w:style>
  <w:style w:type="paragraph" w:styleId="33">
    <w:name w:val="List Paragraph"/>
    <w:basedOn w:val="1"/>
    <w:uiPriority w:val="0"/>
    <w:pPr>
      <w:ind w:left="542" w:right="0" w:firstLine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34">
    <w:name w:val="Содержимое таблицы"/>
    <w:basedOn w:val="1"/>
    <w:uiPriority w:val="0"/>
  </w:style>
  <w:style w:type="paragraph" w:customStyle="1" w:styleId="35">
    <w:name w:val="Заголовок таблицы"/>
    <w:basedOn w:val="3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ragraphs>86</Paragraphs>
  <TotalTime>2989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2022-08-20T07:23:00Z</dcterms:created>
  <dc:creator>Grizl</dc:creator>
  <cp:lastModifiedBy>Grizl</cp:lastModifiedBy>
  <cp:lastPrinted>2022-09-16T16:58:00Z</cp:lastPrinted>
  <dcterms:modified xsi:type="dcterms:W3CDTF">2023-04-22T08:48:54Z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90A3ED62EB9046EB9D0151C8EFB60A34</vt:lpwstr>
  </property>
</Properties>
</file>